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02" w:rsidRPr="008D4179" w:rsidRDefault="00E51502" w:rsidP="00E51502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 w:rsidRPr="008D4179">
        <w:rPr>
          <w:rFonts w:asciiTheme="majorHAnsi" w:eastAsia="Times New Roman" w:hAnsiTheme="majorHAnsi" w:cs="Times New Roman"/>
          <w:color w:val="000000" w:themeColor="text1"/>
          <w:lang w:eastAsia="hr-HR"/>
        </w:rPr>
        <w:t>IME I PREZIME:  ............................................................................................    OIB:............................................</w:t>
      </w:r>
    </w:p>
    <w:p w:rsidR="00E51502" w:rsidRPr="008D4179" w:rsidRDefault="00E51502" w:rsidP="00E51502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lang w:eastAsia="hr-HR"/>
        </w:rPr>
      </w:pPr>
    </w:p>
    <w:p w:rsidR="00E51502" w:rsidRPr="008D4179" w:rsidRDefault="00E51502" w:rsidP="00E51502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 w:rsidRPr="008D4179">
        <w:rPr>
          <w:rFonts w:asciiTheme="majorHAnsi" w:eastAsia="Times New Roman" w:hAnsiTheme="majorHAnsi" w:cs="Times New Roman"/>
          <w:color w:val="000000" w:themeColor="text1"/>
          <w:lang w:eastAsia="hr-HR"/>
        </w:rPr>
        <w:t>ADRESA: .....................................................................................................................................................................</w:t>
      </w:r>
    </w:p>
    <w:p w:rsidR="00E51502" w:rsidRPr="008D4179" w:rsidRDefault="00E51502" w:rsidP="00E51502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lang w:eastAsia="hr-HR"/>
        </w:rPr>
      </w:pPr>
    </w:p>
    <w:p w:rsidR="00E51502" w:rsidRPr="008D4179" w:rsidRDefault="00E51502" w:rsidP="00E51502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 w:rsidRPr="008D4179">
        <w:rPr>
          <w:rFonts w:asciiTheme="majorHAnsi" w:eastAsia="Times New Roman" w:hAnsiTheme="majorHAnsi" w:cs="Times New Roman"/>
          <w:color w:val="000000" w:themeColor="text1"/>
          <w:lang w:eastAsia="hr-HR"/>
        </w:rPr>
        <w:t>MJESTO I DATUM: ...................................................................................</w:t>
      </w:r>
    </w:p>
    <w:p w:rsidR="00E51502" w:rsidRDefault="00E51502" w:rsidP="00E51502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E51502" w:rsidRDefault="00E51502" w:rsidP="00E51502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E51502" w:rsidRPr="003C4489" w:rsidRDefault="00E51502" w:rsidP="00E51502">
      <w:pPr>
        <w:shd w:val="clear" w:color="auto" w:fill="FFFFFF"/>
        <w:spacing w:before="27" w:after="0" w:line="240" w:lineRule="auto"/>
        <w:jc w:val="center"/>
        <w:textAlignment w:val="baseline"/>
        <w:rPr>
          <w:rFonts w:ascii="Bodoni MT Black" w:eastAsia="BatangChe" w:hAnsi="Bodoni MT Black" w:cs="Times New Roman"/>
          <w:b/>
          <w:color w:val="231F20"/>
          <w:sz w:val="32"/>
          <w:szCs w:val="32"/>
          <w:lang w:eastAsia="hr-HR"/>
        </w:rPr>
      </w:pPr>
      <w:r w:rsidRPr="003C4489">
        <w:rPr>
          <w:rFonts w:ascii="Bodoni MT Black" w:eastAsia="BatangChe" w:hAnsi="Bodoni MT Black" w:cs="Times New Roman"/>
          <w:b/>
          <w:color w:val="231F20"/>
          <w:sz w:val="32"/>
          <w:szCs w:val="32"/>
          <w:lang w:eastAsia="hr-HR"/>
        </w:rPr>
        <w:t>SUGLASNOST</w:t>
      </w:r>
    </w:p>
    <w:p w:rsidR="00E51502" w:rsidRPr="003C4489" w:rsidRDefault="00E51502" w:rsidP="00E51502">
      <w:pPr>
        <w:shd w:val="clear" w:color="auto" w:fill="FFFFFF"/>
        <w:spacing w:before="27" w:after="0" w:line="240" w:lineRule="auto"/>
        <w:jc w:val="center"/>
        <w:textAlignment w:val="baseline"/>
        <w:rPr>
          <w:rFonts w:ascii="Bodoni MT Black" w:eastAsia="Times New Roman" w:hAnsi="Bodoni MT Black" w:cs="Times New Roman"/>
          <w:b/>
          <w:color w:val="231F20"/>
          <w:sz w:val="28"/>
          <w:szCs w:val="28"/>
          <w:lang w:eastAsia="hr-HR"/>
        </w:rPr>
      </w:pPr>
      <w:r w:rsidRPr="003C4489">
        <w:rPr>
          <w:rFonts w:ascii="Bodoni MT Black" w:eastAsia="Times New Roman" w:hAnsi="Bodoni MT Black" w:cs="Times New Roman"/>
          <w:b/>
          <w:color w:val="231F20"/>
          <w:sz w:val="28"/>
          <w:szCs w:val="28"/>
          <w:lang w:eastAsia="hr-HR"/>
        </w:rPr>
        <w:t>za izdavanje posebnog uvjerenja  o podacima iz kaznene evidencije</w:t>
      </w:r>
    </w:p>
    <w:p w:rsidR="00E51502" w:rsidRPr="008D4179" w:rsidRDefault="00E51502" w:rsidP="00E51502">
      <w:pPr>
        <w:shd w:val="clear" w:color="auto" w:fill="FFFFFF"/>
        <w:spacing w:before="27" w:after="0" w:line="240" w:lineRule="auto"/>
        <w:textAlignment w:val="baseline"/>
        <w:rPr>
          <w:rFonts w:ascii="Bookman Old Style" w:eastAsia="Times New Roman" w:hAnsi="Bookman Old Style" w:cs="Times New Roman"/>
          <w:color w:val="231F20"/>
          <w:lang w:eastAsia="hr-HR"/>
        </w:rPr>
      </w:pPr>
    </w:p>
    <w:p w:rsidR="000E2C11" w:rsidRPr="008D4179" w:rsidRDefault="000E2C11">
      <w:pPr>
        <w:rPr>
          <w:rFonts w:ascii="Bookman Old Style" w:hAnsi="Bookman Old Style"/>
        </w:rPr>
      </w:pPr>
    </w:p>
    <w:p w:rsidR="00247E6F" w:rsidRPr="008D4179" w:rsidRDefault="00247E6F" w:rsidP="007B4255">
      <w:pPr>
        <w:pStyle w:val="ListParagraph"/>
        <w:numPr>
          <w:ilvl w:val="0"/>
          <w:numId w:val="2"/>
        </w:numPr>
        <w:shd w:val="clear" w:color="auto" w:fill="FFFFFF"/>
        <w:spacing w:before="27"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231F20"/>
          <w:lang w:eastAsia="hr-HR"/>
        </w:rPr>
      </w:pPr>
      <w:r w:rsidRPr="008D4179">
        <w:rPr>
          <w:rFonts w:ascii="Bookman Old Style" w:eastAsia="Times New Roman" w:hAnsi="Bookman Old Style" w:cs="Times New Roman"/>
          <w:color w:val="231F20"/>
          <w:lang w:eastAsia="hr-HR"/>
        </w:rPr>
        <w:t>Suglasan/suglasna sam da nadležno tijelo Doma učenica Dubrovnik može od Ministarstva pravosuđa zatražiti izdavanje posebnog uvjerenja iz članka 13.</w:t>
      </w:r>
      <w:r w:rsidR="000B14FB" w:rsidRPr="008D4179">
        <w:rPr>
          <w:rStyle w:val="FootnoteReference"/>
          <w:rFonts w:ascii="Bookman Old Style" w:eastAsia="Times New Roman" w:hAnsi="Bookman Old Style" w:cs="Times New Roman"/>
          <w:color w:val="231F20"/>
          <w:lang w:eastAsia="hr-HR"/>
        </w:rPr>
        <w:footnoteReference w:id="1"/>
      </w:r>
      <w:r w:rsidR="007B4255" w:rsidRPr="008D4179">
        <w:rPr>
          <w:rFonts w:ascii="Bookman Old Style" w:eastAsia="Times New Roman" w:hAnsi="Bookman Old Style" w:cs="Times New Roman"/>
          <w:color w:val="231F20"/>
          <w:lang w:eastAsia="hr-HR"/>
        </w:rPr>
        <w:t xml:space="preserve">  sukladno   članku</w:t>
      </w:r>
      <w:r w:rsidRPr="008D4179">
        <w:rPr>
          <w:rFonts w:ascii="Bookman Old Style" w:eastAsia="Times New Roman" w:hAnsi="Bookman Old Style" w:cs="Times New Roman"/>
          <w:color w:val="231F20"/>
          <w:lang w:eastAsia="hr-HR"/>
        </w:rPr>
        <w:t xml:space="preserve"> 14. stavak 2.</w:t>
      </w:r>
      <w:r w:rsidR="000B14FB" w:rsidRPr="008D4179">
        <w:rPr>
          <w:rStyle w:val="FootnoteReference"/>
          <w:rFonts w:ascii="Bookman Old Style" w:eastAsia="Times New Roman" w:hAnsi="Bookman Old Style" w:cs="Times New Roman"/>
          <w:color w:val="231F20"/>
          <w:lang w:eastAsia="hr-HR"/>
        </w:rPr>
        <w:footnoteReference w:id="2"/>
      </w:r>
      <w:r w:rsidRPr="008D4179">
        <w:rPr>
          <w:rFonts w:ascii="Bookman Old Style" w:eastAsia="Times New Roman" w:hAnsi="Bookman Old Style" w:cs="Times New Roman"/>
          <w:color w:val="231F20"/>
          <w:lang w:eastAsia="hr-HR"/>
        </w:rPr>
        <w:t xml:space="preserve">  Zakona o  pravnim posljedicama  osude, kaznenoj evidenciji i rehabilitaciji (NN 143/12, 105/15, 32/17)</w:t>
      </w:r>
      <w:r w:rsidR="007B4255" w:rsidRPr="008D4179">
        <w:rPr>
          <w:rFonts w:ascii="Bookman Old Style" w:eastAsia="Times New Roman" w:hAnsi="Bookman Old Style" w:cs="Times New Roman"/>
          <w:color w:val="231F20"/>
          <w:lang w:eastAsia="hr-HR"/>
        </w:rPr>
        <w:t>.</w:t>
      </w:r>
    </w:p>
    <w:p w:rsidR="000B14FB" w:rsidRPr="008D4179" w:rsidRDefault="000B14FB" w:rsidP="000B14FB">
      <w:pPr>
        <w:pStyle w:val="ListParagraph"/>
        <w:shd w:val="clear" w:color="auto" w:fill="FFFFFF"/>
        <w:spacing w:before="27"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231F20"/>
          <w:lang w:eastAsia="hr-HR"/>
        </w:rPr>
      </w:pPr>
    </w:p>
    <w:p w:rsidR="00247E6F" w:rsidRPr="008D4179" w:rsidRDefault="007B4255" w:rsidP="00247E6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8D4179">
        <w:rPr>
          <w:rFonts w:ascii="Bookman Old Style" w:hAnsi="Bookman Old Style"/>
        </w:rPr>
        <w:t>Ograničeni podaci iz ove suglasnosti su samo oni podaci koji su potrebni za ispunjenje svrhe za koji su zatraženi</w:t>
      </w:r>
      <w:r w:rsidR="008D4179">
        <w:rPr>
          <w:rFonts w:ascii="Bookman Old Style" w:hAnsi="Bookman Old Style"/>
        </w:rPr>
        <w:t xml:space="preserve"> (zapošljavanje u Domu)</w:t>
      </w:r>
      <w:r w:rsidRPr="008D4179">
        <w:rPr>
          <w:rFonts w:ascii="Bookman Old Style" w:hAnsi="Bookman Old Style"/>
        </w:rPr>
        <w:t xml:space="preserve"> i ne mogu se upotrijebiti u druge svrhe</w:t>
      </w:r>
      <w:r w:rsidR="000B14FB" w:rsidRPr="008D4179">
        <w:rPr>
          <w:rFonts w:ascii="Bookman Old Style" w:hAnsi="Bookman Old Style"/>
        </w:rPr>
        <w:t xml:space="preserve"> te predstavljaju poslovnu tajnu sukladno članku 141. Statuta Doma.</w:t>
      </w:r>
    </w:p>
    <w:p w:rsidR="000B14FB" w:rsidRPr="008D4179" w:rsidRDefault="000B14FB" w:rsidP="000B14FB">
      <w:pPr>
        <w:pStyle w:val="ListParagraph"/>
        <w:rPr>
          <w:rFonts w:ascii="Bookman Old Style" w:hAnsi="Bookman Old Style"/>
        </w:rPr>
      </w:pPr>
    </w:p>
    <w:p w:rsidR="000B14FB" w:rsidRPr="008D4179" w:rsidRDefault="000B14FB" w:rsidP="000B14FB">
      <w:pPr>
        <w:rPr>
          <w:rFonts w:ascii="Bookman Old Style" w:hAnsi="Bookman Old Style"/>
        </w:rPr>
      </w:pPr>
    </w:p>
    <w:p w:rsidR="000B14FB" w:rsidRPr="008D4179" w:rsidRDefault="008D4179" w:rsidP="008D4179">
      <w:pPr>
        <w:ind w:left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Potpis podnositelja:</w:t>
      </w:r>
      <w:r w:rsidR="000B14FB" w:rsidRPr="008D4179">
        <w:rPr>
          <w:rFonts w:ascii="Bookman Old Style" w:hAnsi="Bookman Old Style"/>
        </w:rPr>
        <w:t xml:space="preserve">                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          </w:t>
      </w:r>
    </w:p>
    <w:p w:rsidR="000B14FB" w:rsidRDefault="008D4179" w:rsidP="000B14FB">
      <w:r>
        <w:t xml:space="preserve">                                                                                                                 </w:t>
      </w:r>
    </w:p>
    <w:p w:rsidR="000B14FB" w:rsidRDefault="000B14FB" w:rsidP="000B14FB">
      <w:r>
        <w:t xml:space="preserve">                                                                                                                 ____________________________</w:t>
      </w:r>
    </w:p>
    <w:sectPr w:rsidR="000B14FB" w:rsidSect="000E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24" w:rsidRDefault="00AD0F24" w:rsidP="000B14FB">
      <w:pPr>
        <w:spacing w:after="0" w:line="240" w:lineRule="auto"/>
      </w:pPr>
      <w:r>
        <w:separator/>
      </w:r>
    </w:p>
  </w:endnote>
  <w:endnote w:type="continuationSeparator" w:id="0">
    <w:p w:rsidR="00AD0F24" w:rsidRDefault="00AD0F24" w:rsidP="000B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24" w:rsidRDefault="00AD0F24" w:rsidP="000B14FB">
      <w:pPr>
        <w:spacing w:after="0" w:line="240" w:lineRule="auto"/>
      </w:pPr>
      <w:r>
        <w:separator/>
      </w:r>
    </w:p>
  </w:footnote>
  <w:footnote w:type="continuationSeparator" w:id="0">
    <w:p w:rsidR="00AD0F24" w:rsidRDefault="00AD0F24" w:rsidP="000B14FB">
      <w:pPr>
        <w:spacing w:after="0" w:line="240" w:lineRule="auto"/>
      </w:pPr>
      <w:r>
        <w:continuationSeparator/>
      </w:r>
    </w:p>
  </w:footnote>
  <w:footnote w:id="1">
    <w:p w:rsidR="000B14FB" w:rsidRPr="005B6C2A" w:rsidRDefault="000B14FB" w:rsidP="000B14FB">
      <w:pPr>
        <w:pStyle w:val="NoSpacing"/>
        <w:rPr>
          <w:rFonts w:asciiTheme="majorHAnsi" w:hAnsiTheme="majorHAnsi"/>
          <w:b/>
        </w:rPr>
      </w:pPr>
      <w:r w:rsidRPr="005B6C2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5B6C2A">
        <w:rPr>
          <w:rFonts w:asciiTheme="majorHAnsi" w:hAnsiTheme="majorHAnsi"/>
          <w:sz w:val="16"/>
          <w:szCs w:val="16"/>
        </w:rPr>
        <w:t xml:space="preserve"> </w:t>
      </w:r>
      <w:r w:rsidRPr="005B6C2A">
        <w:rPr>
          <w:rFonts w:asciiTheme="majorHAnsi" w:hAnsiTheme="majorHAnsi"/>
          <w:b/>
          <w:sz w:val="16"/>
          <w:szCs w:val="16"/>
        </w:rPr>
        <w:t>Članak 13. Zakon o pravnim posljedicama osude, kaznenoj evidenciji i rehabilitaciji</w:t>
      </w:r>
      <w:r w:rsidRPr="005B6C2A">
        <w:rPr>
          <w:rFonts w:asciiTheme="majorHAnsi" w:hAnsiTheme="majorHAnsi"/>
          <w:sz w:val="16"/>
          <w:szCs w:val="16"/>
        </w:rPr>
        <w:t xml:space="preserve"> </w:t>
      </w:r>
      <w:r w:rsidR="008D4179" w:rsidRPr="005B6C2A">
        <w:rPr>
          <w:rFonts w:asciiTheme="majorHAnsi" w:hAnsiTheme="majorHAnsi"/>
          <w:i/>
          <w:sz w:val="16"/>
          <w:szCs w:val="16"/>
        </w:rPr>
        <w:t>(NN 143/12, 105/15, 32/17)</w:t>
      </w:r>
    </w:p>
    <w:p w:rsidR="000B14FB" w:rsidRPr="005B6C2A" w:rsidRDefault="000B14FB" w:rsidP="000B14FB">
      <w:pPr>
        <w:pStyle w:val="NoSpacing"/>
        <w:rPr>
          <w:rFonts w:asciiTheme="majorHAnsi" w:hAnsiTheme="majorHAnsi"/>
          <w:sz w:val="16"/>
          <w:szCs w:val="16"/>
        </w:rPr>
      </w:pPr>
    </w:p>
    <w:p w:rsidR="000B14FB" w:rsidRPr="005B6C2A" w:rsidRDefault="000B14FB" w:rsidP="000B14FB">
      <w:pPr>
        <w:pStyle w:val="NoSpacing"/>
        <w:jc w:val="both"/>
        <w:rPr>
          <w:rFonts w:asciiTheme="majorHAnsi" w:hAnsiTheme="majorHAnsi"/>
          <w:sz w:val="16"/>
          <w:szCs w:val="16"/>
        </w:rPr>
      </w:pPr>
      <w:r w:rsidRPr="005B6C2A">
        <w:rPr>
          <w:rFonts w:asciiTheme="majorHAnsi" w:hAnsiTheme="majorHAnsi"/>
          <w:sz w:val="16"/>
          <w:szCs w:val="16"/>
        </w:rPr>
        <w:t xml:space="preserve">(1) Posebno uvjerenje sadržava ograničene podatke iz kaznene evidencije koje se </w:t>
      </w:r>
      <w:r w:rsidRPr="005B6C2A">
        <w:rPr>
          <w:rFonts w:asciiTheme="majorHAnsi" w:hAnsiTheme="majorHAnsi"/>
          <w:b/>
          <w:sz w:val="16"/>
          <w:szCs w:val="16"/>
        </w:rPr>
        <w:t>izdaje za posebnu svrhu ili kada je to predviđeno posebnim zakonom.</w:t>
      </w:r>
      <w:r w:rsidRPr="005B6C2A">
        <w:rPr>
          <w:rFonts w:asciiTheme="majorHAnsi" w:hAnsiTheme="majorHAnsi"/>
          <w:sz w:val="16"/>
          <w:szCs w:val="16"/>
        </w:rPr>
        <w:t xml:space="preserve"> Ograničeni podaci su samo oni podaci koji su potrebni za ispunjenje svrhe zbog koje su zatraženi ili koji su predviđeni u posebnom zakonu.</w:t>
      </w:r>
    </w:p>
    <w:p w:rsidR="000B14FB" w:rsidRPr="005B6C2A" w:rsidRDefault="000B14FB" w:rsidP="000B14FB">
      <w:pPr>
        <w:pStyle w:val="NoSpacing"/>
        <w:jc w:val="both"/>
        <w:rPr>
          <w:rFonts w:asciiTheme="majorHAnsi" w:hAnsiTheme="majorHAnsi"/>
          <w:sz w:val="16"/>
          <w:szCs w:val="16"/>
        </w:rPr>
      </w:pPr>
      <w:r w:rsidRPr="005B6C2A">
        <w:rPr>
          <w:rFonts w:asciiTheme="majorHAnsi" w:hAnsiTheme="majorHAnsi"/>
          <w:sz w:val="16"/>
          <w:szCs w:val="16"/>
        </w:rPr>
        <w:t xml:space="preserve">(4) </w:t>
      </w:r>
      <w:r w:rsidRPr="005B6C2A">
        <w:rPr>
          <w:rFonts w:asciiTheme="majorHAnsi" w:hAnsiTheme="majorHAnsi"/>
          <w:b/>
          <w:sz w:val="16"/>
          <w:szCs w:val="16"/>
        </w:rPr>
        <w:t xml:space="preserve">Sudovima, tijelima javne vlasti i </w:t>
      </w:r>
      <w:r w:rsidRPr="005B6C2A">
        <w:rPr>
          <w:rFonts w:asciiTheme="majorHAnsi" w:hAnsiTheme="majorHAnsi"/>
          <w:b/>
          <w:sz w:val="16"/>
          <w:szCs w:val="16"/>
          <w:u w:val="single"/>
        </w:rPr>
        <w:t>ustanovama</w:t>
      </w:r>
      <w:r w:rsidRPr="005B6C2A">
        <w:rPr>
          <w:rFonts w:asciiTheme="majorHAnsi" w:hAnsiTheme="majorHAnsi"/>
          <w:b/>
          <w:sz w:val="16"/>
          <w:szCs w:val="16"/>
        </w:rPr>
        <w:t xml:space="preserve"> u postupcima zaštite prava i interesa djece kao i u postupcima povjeravanja određenih poslova i zadataka u radu s djecom mogu se na obrazloženi zahtjev posebnim uvjerenjem dostaviti podaci iz kaznene evidencije</w:t>
      </w:r>
      <w:r w:rsidRPr="005B6C2A">
        <w:rPr>
          <w:rFonts w:asciiTheme="majorHAnsi" w:hAnsiTheme="majorHAnsi"/>
          <w:sz w:val="16"/>
          <w:szCs w:val="16"/>
        </w:rPr>
        <w:t xml:space="preserve"> o pravomoćno osuđenim osobama koje su počinitelji:</w:t>
      </w:r>
    </w:p>
    <w:p w:rsidR="000B14FB" w:rsidRPr="005B6C2A" w:rsidRDefault="000B14FB" w:rsidP="000B14FB">
      <w:pPr>
        <w:pStyle w:val="NoSpacing"/>
        <w:jc w:val="both"/>
        <w:rPr>
          <w:rFonts w:asciiTheme="majorHAnsi" w:hAnsiTheme="majorHAnsi"/>
          <w:sz w:val="16"/>
          <w:szCs w:val="16"/>
        </w:rPr>
      </w:pPr>
      <w:r w:rsidRPr="005B6C2A">
        <w:rPr>
          <w:rFonts w:asciiTheme="majorHAnsi" w:hAnsiTheme="majorHAnsi"/>
          <w:sz w:val="16"/>
          <w:szCs w:val="16"/>
        </w:rPr>
        <w:t>– kaznenih djela iz glave XVII. Kaznenog zakona (»Narodne novine«, br. 125/11.),</w:t>
      </w:r>
    </w:p>
    <w:p w:rsidR="000B14FB" w:rsidRPr="005B6C2A" w:rsidRDefault="000B14FB" w:rsidP="000B14FB">
      <w:pPr>
        <w:pStyle w:val="NoSpacing"/>
        <w:jc w:val="both"/>
        <w:rPr>
          <w:rFonts w:asciiTheme="majorHAnsi" w:hAnsiTheme="majorHAnsi"/>
          <w:sz w:val="16"/>
          <w:szCs w:val="16"/>
        </w:rPr>
      </w:pPr>
      <w:r w:rsidRPr="005B6C2A">
        <w:rPr>
          <w:rFonts w:asciiTheme="majorHAnsi" w:hAnsiTheme="majorHAnsi"/>
          <w:sz w:val="16"/>
          <w:szCs w:val="16"/>
        </w:rPr>
        <w:t>– kaznenih djela iz članka 154. stavka 1. točke 2; članka 154. stavka 3., članka 155. stavka 2. i članka 156. stavka 1. Kaznenog zakona (»Narodne novine«, br. 125/11.) kada su počinjena prema žrtvi posebno ranjivoj zbog njezine dobi,</w:t>
      </w:r>
    </w:p>
    <w:p w:rsidR="000B14FB" w:rsidRPr="005B6C2A" w:rsidRDefault="000B14FB" w:rsidP="000B14FB">
      <w:pPr>
        <w:pStyle w:val="NoSpacing"/>
        <w:jc w:val="both"/>
        <w:rPr>
          <w:rFonts w:asciiTheme="majorHAnsi" w:hAnsiTheme="majorHAnsi"/>
          <w:sz w:val="16"/>
          <w:szCs w:val="16"/>
        </w:rPr>
      </w:pPr>
      <w:r w:rsidRPr="005B6C2A">
        <w:rPr>
          <w:rFonts w:asciiTheme="majorHAnsi" w:hAnsiTheme="majorHAnsi"/>
          <w:sz w:val="16"/>
          <w:szCs w:val="16"/>
        </w:rPr>
        <w:t>– kaznenog djela iz članka 106. stavka 2. i 3. Kaznenog zakona (»Narodne novine«, br. 125/11.),</w:t>
      </w:r>
    </w:p>
    <w:p w:rsidR="000B14FB" w:rsidRPr="005B6C2A" w:rsidRDefault="000B14FB" w:rsidP="000B14FB">
      <w:pPr>
        <w:pStyle w:val="NoSpacing"/>
        <w:jc w:val="both"/>
        <w:rPr>
          <w:rFonts w:asciiTheme="majorHAnsi" w:hAnsiTheme="majorHAnsi"/>
          <w:sz w:val="16"/>
          <w:szCs w:val="16"/>
        </w:rPr>
      </w:pPr>
      <w:r w:rsidRPr="005B6C2A">
        <w:rPr>
          <w:rFonts w:asciiTheme="majorHAnsi" w:hAnsiTheme="majorHAnsi"/>
          <w:sz w:val="16"/>
          <w:szCs w:val="16"/>
        </w:rPr>
        <w:t>– kaznenih djela iz članka 175. stavka 2., članka 178. stavka 3., članka 188. stavka 4. i 5., članka 191. stavka 2., članka 192., članka 193. stavka 2., članka 194., članka 195. stavka 1., stavka 4., stavka 5. i stavka 6., članka 196., članka 197., članka 197.a i članka 198. Kaznenog zakona (»Narodne novine«, br. 110/97., 27/98., 50/00., 129/00., 51/01., 11/03., 190/03., 105/04., 84/05., 71/06., 110/07., 152/08. i 57/11.).</w:t>
      </w:r>
    </w:p>
    <w:p w:rsidR="000B14FB" w:rsidRPr="005B6C2A" w:rsidRDefault="000B14FB">
      <w:pPr>
        <w:pStyle w:val="FootnoteText"/>
        <w:rPr>
          <w:rFonts w:asciiTheme="majorHAnsi" w:hAnsiTheme="majorHAnsi"/>
          <w:sz w:val="16"/>
          <w:szCs w:val="16"/>
        </w:rPr>
      </w:pPr>
    </w:p>
  </w:footnote>
  <w:footnote w:id="2">
    <w:p w:rsidR="000B14FB" w:rsidRPr="005B6C2A" w:rsidRDefault="000B14FB" w:rsidP="000B14FB">
      <w:pPr>
        <w:pStyle w:val="NoSpacing"/>
        <w:rPr>
          <w:rFonts w:asciiTheme="majorHAnsi" w:hAnsiTheme="majorHAnsi"/>
          <w:i/>
          <w:sz w:val="16"/>
          <w:szCs w:val="16"/>
        </w:rPr>
      </w:pPr>
      <w:r w:rsidRPr="005B6C2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5B6C2A">
        <w:rPr>
          <w:rFonts w:asciiTheme="majorHAnsi" w:hAnsiTheme="majorHAnsi"/>
          <w:sz w:val="16"/>
          <w:szCs w:val="16"/>
        </w:rPr>
        <w:t xml:space="preserve"> </w:t>
      </w:r>
      <w:r w:rsidRPr="005B6C2A">
        <w:rPr>
          <w:rFonts w:asciiTheme="majorHAnsi" w:hAnsiTheme="majorHAnsi"/>
          <w:b/>
          <w:sz w:val="16"/>
          <w:szCs w:val="16"/>
        </w:rPr>
        <w:t>Članak 14.</w:t>
      </w:r>
      <w:r w:rsidRPr="005B6C2A">
        <w:rPr>
          <w:rFonts w:asciiTheme="majorHAnsi" w:hAnsiTheme="majorHAnsi"/>
          <w:i/>
          <w:sz w:val="16"/>
          <w:szCs w:val="16"/>
        </w:rPr>
        <w:t xml:space="preserve"> (NN 143/12, 105/15, 32/17)</w:t>
      </w:r>
    </w:p>
    <w:p w:rsidR="005B6C2A" w:rsidRPr="005B6C2A" w:rsidRDefault="005B6C2A" w:rsidP="005B6C2A">
      <w:pPr>
        <w:pStyle w:val="NoSpacing"/>
        <w:rPr>
          <w:rFonts w:asciiTheme="majorHAnsi" w:hAnsiTheme="majorHAnsi"/>
          <w:sz w:val="16"/>
          <w:szCs w:val="16"/>
        </w:rPr>
      </w:pPr>
      <w:r w:rsidRPr="005B6C2A">
        <w:rPr>
          <w:rFonts w:asciiTheme="majorHAnsi" w:hAnsiTheme="majorHAnsi"/>
          <w:sz w:val="16"/>
          <w:szCs w:val="16"/>
        </w:rPr>
        <w:t xml:space="preserve">(1) </w:t>
      </w:r>
      <w:r w:rsidRPr="005B6C2A">
        <w:rPr>
          <w:rFonts w:asciiTheme="majorHAnsi" w:hAnsiTheme="majorHAnsi"/>
          <w:b/>
          <w:sz w:val="16"/>
          <w:szCs w:val="16"/>
        </w:rPr>
        <w:t>Nitko nema pravo zahtijevati od građana da podnesu dokaze o svojoj osuđivanosti ili neosuđivanosti.</w:t>
      </w:r>
    </w:p>
    <w:p w:rsidR="000B14FB" w:rsidRPr="005B6C2A" w:rsidRDefault="000B14FB" w:rsidP="000B14FB">
      <w:pPr>
        <w:pStyle w:val="NoSpacing"/>
        <w:rPr>
          <w:rFonts w:asciiTheme="majorHAnsi" w:hAnsiTheme="majorHAnsi"/>
          <w:sz w:val="16"/>
          <w:szCs w:val="16"/>
        </w:rPr>
      </w:pPr>
      <w:r w:rsidRPr="005B6C2A">
        <w:rPr>
          <w:rFonts w:asciiTheme="majorHAnsi" w:hAnsiTheme="majorHAnsi"/>
          <w:sz w:val="16"/>
          <w:szCs w:val="16"/>
        </w:rPr>
        <w:t xml:space="preserve"> (2) Iznimno, kada se radi o zasnivanju radnog odnosa ili povjeravanju poslova čije obavljanje podrazumijeva redovite kontakte s djecom, </w:t>
      </w:r>
      <w:r w:rsidRPr="005B6C2A">
        <w:rPr>
          <w:rFonts w:asciiTheme="majorHAnsi" w:hAnsiTheme="majorHAnsi"/>
          <w:b/>
          <w:sz w:val="16"/>
          <w:szCs w:val="16"/>
          <w:u w:val="single"/>
        </w:rPr>
        <w:t>poslodavac može</w:t>
      </w:r>
      <w:r w:rsidRPr="005B6C2A">
        <w:rPr>
          <w:rFonts w:asciiTheme="majorHAnsi" w:hAnsiTheme="majorHAnsi"/>
          <w:sz w:val="16"/>
          <w:szCs w:val="16"/>
          <w:u w:val="single"/>
        </w:rPr>
        <w:t>,</w:t>
      </w:r>
      <w:r w:rsidRPr="005B6C2A">
        <w:rPr>
          <w:rFonts w:asciiTheme="majorHAnsi" w:hAnsiTheme="majorHAnsi"/>
          <w:b/>
          <w:sz w:val="16"/>
          <w:szCs w:val="16"/>
        </w:rPr>
        <w:t xml:space="preserve"> uz suglasnost osobe za koju se podaci traže, zatražiti izdavanje posebnog uvjerenja o podacima iz članka 13. stavka 4. ovoga Zakona</w:t>
      </w:r>
      <w:r w:rsidRPr="005B6C2A">
        <w:rPr>
          <w:rFonts w:asciiTheme="majorHAnsi" w:hAnsiTheme="majorHAnsi"/>
          <w:sz w:val="16"/>
          <w:szCs w:val="16"/>
        </w:rPr>
        <w:t>.</w:t>
      </w:r>
    </w:p>
    <w:p w:rsidR="000B14FB" w:rsidRDefault="000B14FB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CC5"/>
    <w:multiLevelType w:val="hybridMultilevel"/>
    <w:tmpl w:val="0D26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B2A"/>
    <w:multiLevelType w:val="hybridMultilevel"/>
    <w:tmpl w:val="0D26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7E45"/>
    <w:multiLevelType w:val="hybridMultilevel"/>
    <w:tmpl w:val="30327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39C4"/>
    <w:multiLevelType w:val="hybridMultilevel"/>
    <w:tmpl w:val="57FA7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502"/>
    <w:rsid w:val="000B14FB"/>
    <w:rsid w:val="000E2C11"/>
    <w:rsid w:val="00247E6F"/>
    <w:rsid w:val="003C4489"/>
    <w:rsid w:val="005B6C2A"/>
    <w:rsid w:val="007B4255"/>
    <w:rsid w:val="008D4179"/>
    <w:rsid w:val="00AD0F24"/>
    <w:rsid w:val="00E5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4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4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4FB"/>
    <w:rPr>
      <w:vertAlign w:val="superscript"/>
    </w:rPr>
  </w:style>
  <w:style w:type="paragraph" w:styleId="NoSpacing">
    <w:name w:val="No Spacing"/>
    <w:qFormat/>
    <w:rsid w:val="000B14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8279-67D8-4E76-9D85-BFBB101D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2019-05-22T07:45:00Z</cp:lastPrinted>
  <dcterms:created xsi:type="dcterms:W3CDTF">2019-05-22T06:49:00Z</dcterms:created>
  <dcterms:modified xsi:type="dcterms:W3CDTF">2019-05-22T08:07:00Z</dcterms:modified>
</cp:coreProperties>
</file>